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403B" w14:textId="61D47E2E" w:rsidR="00691A3E" w:rsidRDefault="00691A3E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50A4D6F9" w14:textId="77777777" w:rsidR="00691A3E" w:rsidRDefault="00691A3E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5ED7E97E" w14:textId="77777777" w:rsidR="00691A3E" w:rsidRDefault="00691A3E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1C257B37" w14:textId="77777777" w:rsidR="00691A3E" w:rsidRDefault="00691A3E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4F4AACB" w14:textId="77777777" w:rsidR="00691A3E" w:rsidRDefault="007849A9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>муниципального района</w:t>
      </w:r>
    </w:p>
    <w:p w14:paraId="19492855" w14:textId="77777777" w:rsidR="00691A3E" w:rsidRDefault="00691A3E">
      <w:pPr>
        <w:jc w:val="center"/>
      </w:pPr>
    </w:p>
    <w:p w14:paraId="269CFEA7" w14:textId="77777777" w:rsidR="00691A3E" w:rsidRDefault="007849A9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6FE201DD" w14:textId="77777777" w:rsidR="00691A3E" w:rsidRDefault="00691A3E">
      <w:pPr>
        <w:tabs>
          <w:tab w:val="left" w:pos="8280"/>
        </w:tabs>
        <w:jc w:val="center"/>
        <w:rPr>
          <w:b/>
          <w:sz w:val="32"/>
        </w:rPr>
      </w:pPr>
    </w:p>
    <w:p w14:paraId="4C6E7A23" w14:textId="77777777" w:rsidR="00691A3E" w:rsidRDefault="007849A9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5507E7C" w14:textId="77777777" w:rsidR="00691A3E" w:rsidRDefault="007849A9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C3955F" wp14:editId="54464476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C1138DC" w14:textId="77777777" w:rsidR="00691A3E" w:rsidRDefault="007849A9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21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05</w:t>
      </w:r>
      <w:r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г. №</w:t>
      </w:r>
      <w:r>
        <w:rPr>
          <w:b/>
          <w:sz w:val="22"/>
          <w:szCs w:val="22"/>
        </w:rPr>
        <w:t xml:space="preserve"> 383</w:t>
      </w:r>
    </w:p>
    <w:p w14:paraId="7BBF1347" w14:textId="77777777" w:rsidR="00691A3E" w:rsidRDefault="007849A9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C53964F" w14:textId="77777777" w:rsidR="00691A3E" w:rsidRDefault="00691A3E">
      <w:pPr>
        <w:rPr>
          <w:b/>
          <w:sz w:val="6"/>
          <w:szCs w:val="22"/>
        </w:rPr>
      </w:pPr>
    </w:p>
    <w:p w14:paraId="5DBA36EE" w14:textId="77777777" w:rsidR="00691A3E" w:rsidRDefault="00691A3E">
      <w:pPr>
        <w:ind w:right="5386"/>
        <w:jc w:val="both"/>
      </w:pPr>
    </w:p>
    <w:p w14:paraId="4BDA2765" w14:textId="77777777" w:rsidR="00691A3E" w:rsidRDefault="007849A9">
      <w:pPr>
        <w:ind w:right="6235"/>
        <w:jc w:val="both"/>
      </w:pPr>
      <w:r>
        <w:t>О</w:t>
      </w:r>
      <w:r>
        <w:t xml:space="preserve"> </w:t>
      </w:r>
      <w:r>
        <w:t>разрешении</w:t>
      </w:r>
      <w:r>
        <w:t xml:space="preserve"> </w:t>
      </w:r>
      <w:r>
        <w:t>на</w:t>
      </w:r>
      <w:r>
        <w:t xml:space="preserve"> </w:t>
      </w:r>
      <w:r>
        <w:t xml:space="preserve">проведение </w:t>
      </w:r>
      <w:r>
        <w:t>универсальной</w:t>
      </w:r>
      <w:r>
        <w:t xml:space="preserve"> ярм</w:t>
      </w:r>
      <w:r>
        <w:t>арки</w:t>
      </w:r>
    </w:p>
    <w:p w14:paraId="0B262CDB" w14:textId="77777777" w:rsidR="00691A3E" w:rsidRDefault="00691A3E"/>
    <w:p w14:paraId="529374E5" w14:textId="77777777" w:rsidR="00691A3E" w:rsidRDefault="007849A9">
      <w:pPr>
        <w:ind w:right="-1"/>
        <w:contextualSpacing/>
        <w:jc w:val="both"/>
      </w:pPr>
      <w:r>
        <w:tab/>
      </w:r>
    </w:p>
    <w:p w14:paraId="7DF85CE4" w14:textId="77777777" w:rsidR="00691A3E" w:rsidRDefault="007849A9">
      <w:pPr>
        <w:ind w:right="-1" w:firstLine="851"/>
        <w:contextualSpacing/>
        <w:jc w:val="both"/>
      </w:pPr>
      <w:r>
        <w:t>В соответстви</w:t>
      </w:r>
      <w:r>
        <w:t>и</w:t>
      </w:r>
      <w:r>
        <w:t xml:space="preserve"> с </w:t>
      </w:r>
      <w:hyperlink r:id="rId6" w:tooltip="http://mobileonline.garant.ru/document/redirect/8779994/0" w:history="1">
        <w:r>
          <w:rPr>
            <w:rStyle w:val="afc"/>
            <w:color w:val="auto"/>
          </w:rPr>
          <w:t>постановлением Правительства Челябинской области от              16 февраля 2011 г. № 31-П «О Положении о порядке организа</w:t>
        </w:r>
        <w:r>
          <w:rPr>
            <w:rStyle w:val="afc"/>
            <w:color w:val="auto"/>
          </w:rPr>
          <w:t>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района от 30.08.2021 г. № 749</w:t>
      </w:r>
      <w:r>
        <w:t xml:space="preserve">            </w:t>
      </w:r>
      <w:r>
        <w:t xml:space="preserve"> «О принятии решений о проведении ярмарок на территории Нязепетровского городского поселения», на основании заявления  </w:t>
      </w:r>
      <w:r>
        <w:t>Общества</w:t>
      </w:r>
      <w:r>
        <w:t xml:space="preserve"> с ограниченной ответственностью             Выставочная компания «Ярмарки Урала» </w:t>
      </w:r>
      <w:r>
        <w:t>:</w:t>
      </w:r>
    </w:p>
    <w:p w14:paraId="3C107FA7" w14:textId="77777777" w:rsidR="00691A3E" w:rsidRDefault="007849A9">
      <w:pPr>
        <w:ind w:right="-1" w:firstLine="851"/>
        <w:contextualSpacing/>
        <w:jc w:val="both"/>
      </w:pPr>
      <w:r>
        <w:t xml:space="preserve">1. Разрешить </w:t>
      </w:r>
      <w:r>
        <w:t>Обществу</w:t>
      </w:r>
      <w:r>
        <w:t xml:space="preserve"> с ограниченной ответственностью Выставочная компания «Ярмарки Урала» про</w:t>
      </w:r>
      <w:r>
        <w:t xml:space="preserve">ведение </w:t>
      </w:r>
      <w:r>
        <w:t>универсальной 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</w:t>
      </w:r>
      <w:r>
        <w:rPr>
          <w:rStyle w:val="afd"/>
          <w:rFonts w:ascii="Times New Roman" w:eastAsia="Times New Roman" w:hAnsi="Times New Roman" w:cs="Times New Roman"/>
        </w:rPr>
        <w:t>продовольственных</w:t>
      </w:r>
      <w:r>
        <w:rPr>
          <w:rStyle w:val="afd"/>
          <w:rFonts w:ascii="Times New Roman" w:eastAsia="Times New Roman" w:hAnsi="Times New Roman" w:cs="Times New Roman"/>
        </w:rPr>
        <w:t xml:space="preserve"> и </w:t>
      </w:r>
      <w:r>
        <w:rPr>
          <w:rStyle w:val="afd"/>
          <w:rFonts w:ascii="Times New Roman" w:eastAsia="Times New Roman" w:hAnsi="Times New Roman" w:cs="Times New Roman"/>
        </w:rPr>
        <w:t>не</w:t>
      </w:r>
      <w:r>
        <w:rPr>
          <w:rStyle w:val="afd"/>
          <w:rFonts w:ascii="Times New Roman" w:eastAsia="Times New Roman" w:hAnsi="Times New Roman" w:cs="Times New Roman"/>
        </w:rPr>
        <w:t>продовольственных  товаров (далее - ярмарка)</w:t>
      </w:r>
      <w:r>
        <w:rPr>
          <w:rStyle w:val="afd"/>
          <w:rFonts w:ascii="Times New Roman" w:eastAsia="Times New Roman" w:hAnsi="Times New Roman" w:cs="Times New Roman"/>
        </w:rPr>
        <w:t xml:space="preserve">  25-26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>мая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>
        <w:rPr>
          <w:rStyle w:val="afd"/>
          <w:rFonts w:ascii="Times New Roman" w:eastAsia="Times New Roman" w:hAnsi="Times New Roman" w:cs="Times New Roman"/>
        </w:rPr>
        <w:t>4</w:t>
      </w:r>
      <w:r>
        <w:rPr>
          <w:rStyle w:val="afd"/>
          <w:rFonts w:ascii="Times New Roman" w:eastAsia="Times New Roman" w:hAnsi="Times New Roman" w:cs="Times New Roman"/>
        </w:rPr>
        <w:t xml:space="preserve"> года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 по адресу: </w:t>
      </w:r>
      <w:r>
        <w:rPr>
          <w:rStyle w:val="afd"/>
          <w:rFonts w:ascii="Times New Roman" w:eastAsia="Times New Roman" w:hAnsi="Times New Roman" w:cs="Times New Roman"/>
        </w:rPr>
        <w:t xml:space="preserve">                   </w:t>
      </w:r>
      <w:r>
        <w:rPr>
          <w:rStyle w:val="afd"/>
          <w:rFonts w:ascii="Times New Roman" w:eastAsia="Times New Roman" w:hAnsi="Times New Roman" w:cs="Times New Roman"/>
        </w:rPr>
        <w:t>г. Нязепетровск,</w:t>
      </w:r>
      <w:r>
        <w:rPr>
          <w:rStyle w:val="afd"/>
          <w:rFonts w:ascii="Times New Roman" w:eastAsia="Times New Roman" w:hAnsi="Times New Roman" w:cs="Times New Roman"/>
        </w:rPr>
        <w:t xml:space="preserve">  </w:t>
      </w:r>
      <w:r>
        <w:rPr>
          <w:rStyle w:val="afd"/>
          <w:rFonts w:ascii="Times New Roman" w:eastAsia="Times New Roman" w:hAnsi="Times New Roman" w:cs="Times New Roman"/>
        </w:rPr>
        <w:t>ул</w:t>
      </w:r>
      <w:r>
        <w:rPr>
          <w:rStyle w:val="afd"/>
          <w:rFonts w:ascii="Times New Roman" w:eastAsia="Times New Roman" w:hAnsi="Times New Roman" w:cs="Times New Roman"/>
        </w:rPr>
        <w:t xml:space="preserve">. </w:t>
      </w:r>
      <w:r>
        <w:rPr>
          <w:rStyle w:val="afd"/>
          <w:rFonts w:ascii="Times New Roman" w:eastAsia="Times New Roman" w:hAnsi="Times New Roman" w:cs="Times New Roman"/>
        </w:rPr>
        <w:t>Клубная</w:t>
      </w:r>
      <w:r>
        <w:rPr>
          <w:rStyle w:val="afd"/>
          <w:rFonts w:ascii="Times New Roman" w:eastAsia="Times New Roman" w:hAnsi="Times New Roman" w:cs="Times New Roman"/>
        </w:rPr>
        <w:t>, 1</w:t>
      </w:r>
      <w:r>
        <w:rPr>
          <w:rStyle w:val="afd"/>
          <w:rFonts w:ascii="Times New Roman" w:eastAsia="Times New Roman" w:hAnsi="Times New Roman" w:cs="Times New Roman"/>
        </w:rPr>
        <w:t>9 (кадастровый номер земельного участка 74</w:t>
      </w:r>
      <w:r w:rsidRPr="007849A9">
        <w:rPr>
          <w:rStyle w:val="afd"/>
          <w:rFonts w:ascii="Times New Roman" w:eastAsia="Times New Roman" w:hAnsi="Times New Roman" w:cs="Times New Roman"/>
        </w:rPr>
        <w:t>:16:130</w:t>
      </w:r>
      <w:r>
        <w:rPr>
          <w:rStyle w:val="afd"/>
          <w:rFonts w:ascii="Times New Roman" w:eastAsia="Times New Roman" w:hAnsi="Times New Roman" w:cs="Times New Roman"/>
        </w:rPr>
        <w:t>8019</w:t>
      </w:r>
      <w:r w:rsidRPr="007849A9">
        <w:rPr>
          <w:rStyle w:val="afd"/>
          <w:rFonts w:ascii="Times New Roman" w:eastAsia="Times New Roman" w:hAnsi="Times New Roman" w:cs="Times New Roman"/>
        </w:rPr>
        <w:t>:6</w:t>
      </w:r>
      <w:r>
        <w:rPr>
          <w:rStyle w:val="afd"/>
          <w:rFonts w:ascii="Times New Roman" w:eastAsia="Times New Roman" w:hAnsi="Times New Roman" w:cs="Times New Roman"/>
        </w:rPr>
        <w:t>15</w:t>
      </w:r>
      <w:r w:rsidRPr="007849A9">
        <w:rPr>
          <w:rStyle w:val="afd"/>
          <w:rFonts w:ascii="Times New Roman" w:eastAsia="Times New Roman" w:hAnsi="Times New Roman" w:cs="Times New Roman"/>
        </w:rPr>
        <w:t>)</w:t>
      </w:r>
      <w:r>
        <w:rPr>
          <w:rStyle w:val="afd"/>
          <w:rFonts w:ascii="Times New Roman" w:eastAsia="Times New Roman" w:hAnsi="Times New Roman" w:cs="Times New Roman"/>
        </w:rPr>
        <w:t>.</w:t>
      </w:r>
    </w:p>
    <w:p w14:paraId="5FFE0800" w14:textId="77777777" w:rsidR="00691A3E" w:rsidRDefault="007849A9">
      <w:pPr>
        <w:ind w:right="-1" w:firstLine="851"/>
        <w:contextualSpacing/>
        <w:jc w:val="both"/>
      </w:pPr>
      <w:r>
        <w:t>2. </w:t>
      </w:r>
      <w:r>
        <w:t>Обществу</w:t>
      </w:r>
      <w:r>
        <w:t xml:space="preserve"> с ограниченной ответственностью Выставочная компания «Ярмарки Урала»</w:t>
      </w:r>
      <w:r>
        <w:t>:</w:t>
      </w:r>
    </w:p>
    <w:p w14:paraId="2F85DC24" w14:textId="77777777" w:rsidR="00691A3E" w:rsidRDefault="007849A9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 xml:space="preserve">организацию и проведение ярмарки в соответствии с требованиями </w:t>
      </w:r>
      <w:r>
        <w:rPr>
          <w:rStyle w:val="afd"/>
          <w:rFonts w:ascii="Times New Roman" w:eastAsia="Times New Roman" w:hAnsi="Times New Roman" w:cs="Times New Roman"/>
        </w:rPr>
        <w:t>законодательства;</w:t>
      </w:r>
    </w:p>
    <w:p w14:paraId="3D5B1962" w14:textId="77777777" w:rsidR="00691A3E" w:rsidRDefault="007849A9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 ;</w:t>
      </w:r>
    </w:p>
    <w:p w14:paraId="6AE9A94E" w14:textId="77777777" w:rsidR="00691A3E" w:rsidRDefault="007849A9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 предоставить в управление экономического развития, сельского хозяйства и туризма администрации Нязепетровского муниципального района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в течение </w:t>
      </w:r>
      <w:r>
        <w:rPr>
          <w:rStyle w:val="afd"/>
          <w:rFonts w:ascii="Times New Roman" w:eastAsia="Times New Roman" w:hAnsi="Times New Roman" w:cs="Times New Roman"/>
        </w:rPr>
        <w:t>трех</w:t>
      </w:r>
      <w:r>
        <w:rPr>
          <w:rStyle w:val="afd"/>
          <w:rFonts w:ascii="Times New Roman" w:eastAsia="Times New Roman" w:hAnsi="Times New Roman" w:cs="Times New Roman"/>
        </w:rPr>
        <w:t xml:space="preserve"> календарных дней после провед</w:t>
      </w:r>
      <w:r>
        <w:rPr>
          <w:rStyle w:val="afd"/>
          <w:rFonts w:ascii="Times New Roman" w:eastAsia="Times New Roman" w:hAnsi="Times New Roman" w:cs="Times New Roman"/>
        </w:rPr>
        <w:t>ения ярмарки информацию по форме согласно приложению к настоящему распоряжению.</w:t>
      </w:r>
      <w:bookmarkStart w:id="0" w:name="sub_1003"/>
      <w:bookmarkEnd w:id="0"/>
    </w:p>
    <w:p w14:paraId="2110F3F9" w14:textId="77777777" w:rsidR="00691A3E" w:rsidRDefault="007849A9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>Настоящее распоряжение подлежит размещению на официальном сайте Нязепетровского муниципального района.</w:t>
      </w:r>
      <w:bookmarkStart w:id="1" w:name="sub_1004"/>
      <w:bookmarkEnd w:id="1"/>
    </w:p>
    <w:p w14:paraId="226C5AD2" w14:textId="77777777" w:rsidR="00691A3E" w:rsidRDefault="007849A9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4. Контроль за  исполнением настоящего распоряжения возложить на замес</w:t>
      </w:r>
      <w:r>
        <w:rPr>
          <w:rStyle w:val="afd"/>
          <w:rFonts w:ascii="Times New Roman" w:eastAsia="Times New Roman" w:hAnsi="Times New Roman" w:cs="Times New Roman"/>
        </w:rPr>
        <w:t>тителя главы  муниципального района по экономике и финансам Горбунову М.В.</w:t>
      </w:r>
    </w:p>
    <w:p w14:paraId="31E4E915" w14:textId="77777777" w:rsidR="00691A3E" w:rsidRDefault="007849A9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35CE8659" w14:textId="77777777" w:rsidR="00691A3E" w:rsidRDefault="00691A3E">
      <w:pPr>
        <w:ind w:left="-708" w:firstLine="708"/>
        <w:contextualSpacing/>
        <w:jc w:val="both"/>
      </w:pPr>
    </w:p>
    <w:p w14:paraId="4F04D541" w14:textId="77777777" w:rsidR="00691A3E" w:rsidRDefault="007849A9">
      <w:pPr>
        <w:tabs>
          <w:tab w:val="left" w:pos="0"/>
        </w:tabs>
        <w:jc w:val="both"/>
      </w:pPr>
      <w:r>
        <w:t xml:space="preserve">Глава </w:t>
      </w:r>
      <w:r>
        <w:t>Нязепетровского</w:t>
      </w:r>
      <w:r>
        <w:t xml:space="preserve"> </w:t>
      </w:r>
    </w:p>
    <w:p w14:paraId="0775FF0D" w14:textId="77777777" w:rsidR="00691A3E" w:rsidRDefault="007849A9">
      <w:pPr>
        <w:tabs>
          <w:tab w:val="left" w:pos="0"/>
        </w:tabs>
        <w:jc w:val="both"/>
      </w:pPr>
      <w:r>
        <w:t xml:space="preserve">муниципального района     </w:t>
      </w:r>
      <w:r>
        <w:tab/>
      </w:r>
      <w:r>
        <w:tab/>
      </w:r>
      <w:r>
        <w:tab/>
      </w:r>
      <w:r>
        <w:t xml:space="preserve">                                                             С.</w:t>
      </w:r>
      <w:r>
        <w:t>А. Кравцов</w:t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691A3E" w14:paraId="2EB09197" w14:textId="77777777">
        <w:tc>
          <w:tcPr>
            <w:tcW w:w="9331" w:type="dxa"/>
          </w:tcPr>
          <w:p w14:paraId="525EEF65" w14:textId="77777777" w:rsidR="00691A3E" w:rsidRDefault="00691A3E" w:rsidP="007849A9"/>
        </w:tc>
        <w:tc>
          <w:tcPr>
            <w:tcW w:w="240" w:type="dxa"/>
          </w:tcPr>
          <w:p w14:paraId="1F12C8DD" w14:textId="77777777" w:rsidR="00691A3E" w:rsidRDefault="00691A3E">
            <w:pPr>
              <w:tabs>
                <w:tab w:val="left" w:pos="0"/>
              </w:tabs>
            </w:pPr>
          </w:p>
        </w:tc>
      </w:tr>
    </w:tbl>
    <w:p w14:paraId="46CE1663" w14:textId="77777777" w:rsidR="00691A3E" w:rsidRDefault="007849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lastRenderedPageBreak/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>Нязепетровского муниципального района</w:t>
      </w:r>
    </w:p>
    <w:p w14:paraId="6B3DA735" w14:textId="77777777" w:rsidR="00691A3E" w:rsidRDefault="007849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         </w:t>
      </w:r>
      <w:r>
        <w:rPr>
          <w:rStyle w:val="afe"/>
          <w:rFonts w:ascii="Times New Roman" w:hAnsi="Times New Roman" w:cs="Times New Roman"/>
          <w:b w:val="0"/>
          <w:color w:val="000000"/>
        </w:rPr>
        <w:t>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т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21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05.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202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4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383</w:t>
      </w:r>
    </w:p>
    <w:p w14:paraId="374494E4" w14:textId="77777777" w:rsidR="00691A3E" w:rsidRDefault="00691A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5D10B363" w14:textId="77777777" w:rsidR="00691A3E" w:rsidRDefault="00691A3E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BEBE85" w14:textId="77777777" w:rsidR="00691A3E" w:rsidRDefault="007849A9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049FE131" w14:textId="77777777" w:rsidR="00691A3E" w:rsidRDefault="007849A9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048EC55C" w14:textId="77777777" w:rsidR="00691A3E" w:rsidRDefault="007849A9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74360281" w14:textId="77777777" w:rsidR="00691A3E" w:rsidRDefault="007849A9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570B15E2" w14:textId="77777777" w:rsidR="00691A3E" w:rsidRDefault="00691A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691A3E" w14:paraId="463C8DD7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653A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1D5F5204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252A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A191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DAF7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592724C6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A11C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0BC39F91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42D5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5F89D851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691A3E" w14:paraId="0163B835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58F5" w14:textId="77777777" w:rsidR="00691A3E" w:rsidRDefault="00691A3E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7F67" w14:textId="77777777" w:rsidR="00691A3E" w:rsidRDefault="00691A3E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6871" w14:textId="77777777" w:rsidR="00691A3E" w:rsidRDefault="00691A3E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583E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2E47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том числе граждан, ведущих крестьянско-фермерское хозяйство, личное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05A0" w14:textId="77777777" w:rsidR="00691A3E" w:rsidRDefault="00691A3E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AEED" w14:textId="77777777" w:rsidR="00691A3E" w:rsidRDefault="00691A3E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91A3E" w14:paraId="3C70194B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7157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F743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B6C9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F0CB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894C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E228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DF2F" w14:textId="77777777" w:rsidR="00691A3E" w:rsidRDefault="007849A9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691A3E" w14:paraId="0DFF3EF8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189B" w14:textId="77777777" w:rsidR="00691A3E" w:rsidRDefault="00691A3E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BB49" w14:textId="77777777" w:rsidR="00691A3E" w:rsidRDefault="00691A3E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DC93" w14:textId="77777777" w:rsidR="00691A3E" w:rsidRDefault="00691A3E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D34F" w14:textId="77777777" w:rsidR="00691A3E" w:rsidRDefault="00691A3E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6AB8" w14:textId="77777777" w:rsidR="00691A3E" w:rsidRDefault="00691A3E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F9C5" w14:textId="77777777" w:rsidR="00691A3E" w:rsidRDefault="00691A3E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EE2E" w14:textId="77777777" w:rsidR="00691A3E" w:rsidRDefault="00691A3E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41F6512" w14:textId="77777777" w:rsidR="00691A3E" w:rsidRDefault="007849A9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13752721" w14:textId="77777777" w:rsidR="00691A3E" w:rsidRDefault="007849A9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106ACA53" w14:textId="77777777" w:rsidR="00691A3E" w:rsidRDefault="007849A9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предприятия)     (подпись)       (расшифровка подписи)</w:t>
      </w:r>
    </w:p>
    <w:sectPr w:rsidR="00691A3E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3E"/>
    <w:rsid w:val="00691A3E"/>
    <w:rsid w:val="007849A9"/>
    <w:rsid w:val="05013A87"/>
    <w:rsid w:val="080E2BD1"/>
    <w:rsid w:val="0C433000"/>
    <w:rsid w:val="0CA42047"/>
    <w:rsid w:val="0F5C08A7"/>
    <w:rsid w:val="10BD7118"/>
    <w:rsid w:val="131F396E"/>
    <w:rsid w:val="13C547FF"/>
    <w:rsid w:val="15C74070"/>
    <w:rsid w:val="18E30F60"/>
    <w:rsid w:val="1E6A6074"/>
    <w:rsid w:val="203543E6"/>
    <w:rsid w:val="21837D84"/>
    <w:rsid w:val="3BCC042C"/>
    <w:rsid w:val="3C701BFE"/>
    <w:rsid w:val="4A4846B1"/>
    <w:rsid w:val="4F5706B7"/>
    <w:rsid w:val="54DC7CE0"/>
    <w:rsid w:val="57DB7132"/>
    <w:rsid w:val="5CDA3FE2"/>
    <w:rsid w:val="61854DEA"/>
    <w:rsid w:val="62B83782"/>
    <w:rsid w:val="66654DFF"/>
    <w:rsid w:val="67131256"/>
    <w:rsid w:val="6D5E317C"/>
    <w:rsid w:val="6E3D27EA"/>
    <w:rsid w:val="6F1D4445"/>
    <w:rsid w:val="71A3637F"/>
    <w:rsid w:val="71E91071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219725"/>
  <w15:docId w15:val="{E9660DFE-8EBF-4301-9A0D-C3D98E09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autoRedefine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autoRedefine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autoRedefine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autoRedefine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autoRedefine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autoRedefine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autoRedefine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autoRedefine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autoRedefine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autoRedefine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autoRedefine/>
    <w:uiPriority w:val="99"/>
    <w:unhideWhenUsed/>
    <w:qFormat/>
  </w:style>
  <w:style w:type="paragraph" w:styleId="31">
    <w:name w:val="toc 3"/>
    <w:basedOn w:val="a"/>
    <w:next w:val="a"/>
    <w:autoRedefine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autoRedefine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autoRedefine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autoRedefine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autoRedefine/>
    <w:uiPriority w:val="11"/>
    <w:qFormat/>
    <w:pPr>
      <w:spacing w:before="200" w:after="200"/>
    </w:pPr>
  </w:style>
  <w:style w:type="table" w:styleId="af4">
    <w:name w:val="Table Grid"/>
    <w:basedOn w:val="a1"/>
    <w:autoRedefine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autoRedefine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autoRedefine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autoRedefine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autoRedefine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autoRedefine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autoRedefine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autoRedefine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autoRedefine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autoRedefine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autoRedefine/>
    <w:uiPriority w:val="1"/>
    <w:qFormat/>
  </w:style>
  <w:style w:type="character" w:customStyle="1" w:styleId="af">
    <w:name w:val="Заголовок Знак"/>
    <w:basedOn w:val="a0"/>
    <w:link w:val="ae"/>
    <w:autoRedefine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autoRedefine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autoRedefine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autoRedefine/>
    <w:uiPriority w:val="29"/>
    <w:qFormat/>
    <w:rPr>
      <w:i/>
    </w:rPr>
  </w:style>
  <w:style w:type="paragraph" w:styleId="af6">
    <w:name w:val="Intense Quote"/>
    <w:basedOn w:val="a"/>
    <w:next w:val="a"/>
    <w:link w:val="af7"/>
    <w:autoRedefine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autoRedefine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autoRedefine/>
    <w:uiPriority w:val="99"/>
    <w:qFormat/>
  </w:style>
  <w:style w:type="character" w:customStyle="1" w:styleId="FooterChar">
    <w:name w:val="Footer Char"/>
    <w:basedOn w:val="a0"/>
    <w:autoRedefine/>
    <w:uiPriority w:val="99"/>
    <w:qFormat/>
  </w:style>
  <w:style w:type="character" w:customStyle="1" w:styleId="af1">
    <w:name w:val="Нижний колонтитул Знак"/>
    <w:link w:val="af0"/>
    <w:autoRedefine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autoRedefine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autoRedefine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autoRedefine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autoRedefine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autoRedefine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autoRedefine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autoRedefine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autoRedefine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autoRedefine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autoRedefine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autoRedefine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autoRedefine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autoRedefine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autoRedefine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autoRedefine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autoRedefine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autoRedefine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autoRedefine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autoRedefine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autoRedefine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autoRedefine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autoRedefine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autoRedefine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autoRedefine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autoRedefine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autoRedefine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autoRedefine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autoRedefine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autoRedefine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autoRedefine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autoRedefine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autoRedefine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autoRedefine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autoRedefine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autoRedefine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autoRedefine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autoRedefine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autoRedefine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autoRedefine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autoRedefine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autoRedefine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autoRedefine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autoRedefine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autoRedefine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autoRedefine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autoRedefine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autoRedefine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autoRedefine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autoRedefine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autoRedefine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autoRedefine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autoRedefine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autoRedefine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autoRedefine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autoRedefine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autoRedefine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autoRedefine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autoRedefine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autoRedefine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autoRedefine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autoRedefine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autoRedefine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autoRedefine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autoRedefine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autoRedefine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autoRedefine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autoRedefine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autoRedefine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autoRedefine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autoRedefine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autoRedefine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autoRedefine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autoRedefine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autoRedefine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autoRedefine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autoRedefine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autoRedefine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autoRedefine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autoRedefine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autoRedefine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autoRedefine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autoRedefine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autoRedefine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autoRedefine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autoRedefine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autoRedefine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autoRedefine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autoRedefine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autoRedefine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autoRedefine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autoRedefine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autoRedefine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autoRedefine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autoRedefine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autoRedefine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autoRedefine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autoRedefine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autoRedefine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autoRedefine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autoRedefine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autoRedefine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autoRedefine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autoRedefine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autoRedefine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autoRedefine/>
    <w:uiPriority w:val="99"/>
    <w:qFormat/>
    <w:rPr>
      <w:sz w:val="20"/>
    </w:rPr>
  </w:style>
  <w:style w:type="paragraph" w:customStyle="1" w:styleId="12">
    <w:name w:val="Заголовок оглавления1"/>
    <w:autoRedefine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autoRedefine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autoRedefine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autoRedefine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autoRedefine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autoRedefine/>
    <w:qFormat/>
    <w:rPr>
      <w:rFonts w:cs="Times New Roman"/>
      <w:color w:val="106BBE"/>
    </w:rPr>
  </w:style>
  <w:style w:type="character" w:customStyle="1" w:styleId="afd">
    <w:name w:val="Цветовое выделение для Текст"/>
    <w:autoRedefine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autoRedefine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877999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Prawowoi</cp:lastModifiedBy>
  <cp:revision>12</cp:revision>
  <cp:lastPrinted>2024-04-25T09:18:00Z</cp:lastPrinted>
  <dcterms:created xsi:type="dcterms:W3CDTF">2021-10-15T11:51:00Z</dcterms:created>
  <dcterms:modified xsi:type="dcterms:W3CDTF">2024-05-24T03:45:00Z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B4D80A5A1B9C4B13B16F484A587FB0B2_13</vt:lpwstr>
  </property>
</Properties>
</file>