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267" w:h="444" w:hRule="exact" w:wrap="none" w:vAnchor="page" w:hAnchor="page" w:x="858" w:y="1261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за 4 квартал 2022 года о рассмотрении обращений граждан в общественной приемной Губернатора</w:t>
        <w:br/>
        <w:t>Челябинской области</w:t>
      </w:r>
    </w:p>
    <w:p>
      <w:pPr>
        <w:pStyle w:val="Style2"/>
        <w:keepNext w:val="0"/>
        <w:keepLines w:val="0"/>
        <w:framePr w:w="10267" w:h="247" w:hRule="exact" w:wrap="none" w:vAnchor="page" w:hAnchor="page" w:x="858" w:y="19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 организации: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Общественная приемная Губернатора Челябинской области в Нязепетровском муницип;</w:t>
      </w:r>
    </w:p>
    <w:p>
      <w:pPr>
        <w:pStyle w:val="Style5"/>
        <w:keepNext w:val="0"/>
        <w:keepLines w:val="0"/>
        <w:framePr w:wrap="none" w:vAnchor="page" w:hAnchor="page" w:x="887" w:y="2348"/>
        <w:widowControl w:val="0"/>
        <w:shd w:val="clear" w:color="auto" w:fill="auto"/>
        <w:tabs>
          <w:tab w:pos="27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ru-RU" w:eastAsia="ru-RU" w:bidi="ru-RU"/>
        </w:rPr>
        <w:t>Период: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 квартал 2022 года</w:t>
      </w:r>
    </w:p>
    <w:tbl>
      <w:tblPr>
        <w:tblOverlap w:val="never"/>
        <w:jc w:val="left"/>
        <w:tblLayout w:type="fixed"/>
      </w:tblPr>
      <w:tblGrid>
        <w:gridCol w:w="984"/>
        <w:gridCol w:w="7454"/>
        <w:gridCol w:w="1829"/>
      </w:tblGrid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Значение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обращений: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267" w:h="9562" w:wrap="none" w:vAnchor="page" w:hAnchor="page" w:x="858" w:y="27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источнику поступления: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письменных обращений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устных обращений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267" w:h="9562" w:wrap="none" w:vAnchor="page" w:hAnchor="page" w:x="858" w:y="27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поступивших: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ходе личного приема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tabs>
                <w:tab w:pos="1795" w:val="left"/>
              </w:tabs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44,00</w:t>
              <w:tab/>
              <w:t>'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телефону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20,00</w:t>
            </w:r>
          </w:p>
        </w:tc>
      </w:tr>
      <w:tr>
        <w:trPr>
          <w:trHeight w:val="1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рассмотренным обращениям: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взято на контроль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рассмотрено с выездом на место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рассмотрено с участием автора обращения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рассмотрено с участием главы муниципального образования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tabs>
                <w:tab w:leader="underscore" w:pos="1262" w:val="left"/>
              </w:tabs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рассмотрено с привлечением руководителей муниципальных служб и иных компетентных лиц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результатам рассмотрения: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вопросы решены положительно, в том числе меры приняты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даны разъяснения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поступило благодарностей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поступило жалоб: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которым доводы заявителей подтвердились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которым доводы заявителей подтвердились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принято граждан: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руководителем общественной приемной Губернатора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совместно с Главой муниципального образования в общественной приемной Губернатора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 участием должностных лиц органов исполнительной власти, местного самоуправления и иных компетентных лиц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 по совершенствованию работы (количество):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Проведено выездных приемов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размещено информационных материалов: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1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267" w:h="9562" w:wrap="none" w:vAnchor="page" w:hAnchor="page" w:x="858" w:y="27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официальном сайте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средствах массовой информации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подготовлено информационных материалов: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267" w:h="9562" w:wrap="none" w:vAnchor="page" w:hAnchor="page" w:x="858" w:y="27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4.3.1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4.3.2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органы исполнительной власти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4.3.3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Правительство Челябинской области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tabs>
                <w:tab w:leader="underscore" w:pos="88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4.4</w:t>
            </w: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принято участие в совещаниях: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0267" w:h="9562" w:wrap="none" w:vAnchor="page" w:hAnchor="page" w:x="858" w:y="272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4,4.1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14,00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A4A7B3"/>
                <w:spacing w:val="0"/>
                <w:w w:val="100"/>
                <w:position w:val="0"/>
                <w:u w:val="single"/>
                <w:shd w:val="clear" w:color="auto" w:fill="auto"/>
                <w:lang w:val="ru-RU" w:eastAsia="ru-RU" w:bidi="ru-RU"/>
              </w:rPr>
              <w:t>4.4.2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работе депутатских сессий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A4A7B3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мероприятия, проведенные руководителем общественной приемной</w:t>
            </w:r>
          </w:p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tabs>
                <w:tab w:leader="underscore" w:pos="6528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Consolas" w:eastAsia="Consolas" w:hAnsi="Consolas" w:cs="Consolas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ru-RU" w:eastAsia="ru-RU" w:bidi="ru-RU"/>
              </w:rPr>
              <w:t>Губернатора</w:t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0267" w:h="9562" w:wrap="none" w:vAnchor="page" w:hAnchor="page" w:x="858" w:y="272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CharStyle9">
    <w:name w:val="Другое_"/>
    <w:basedOn w:val="DefaultParagraphFont"/>
    <w:link w:val="Style8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240" w:line="262" w:lineRule="auto"/>
      <w:jc w:val="center"/>
    </w:pPr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auto"/>
    </w:pPr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singl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</w:pPr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