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F5" w:rsidRDefault="009F6AF5">
      <w:pPr>
        <w:ind w:left="5670"/>
        <w:jc w:val="center"/>
        <w:rPr>
          <w:rStyle w:val="a0"/>
          <w:b w:val="0"/>
          <w:bCs/>
          <w:sz w:val="16"/>
          <w:szCs w:val="16"/>
        </w:rPr>
      </w:pPr>
      <w:r>
        <w:rPr>
          <w:rStyle w:val="a0"/>
          <w:bCs/>
          <w:sz w:val="16"/>
          <w:szCs w:val="16"/>
        </w:rPr>
        <w:t>Приложение 3</w:t>
      </w:r>
    </w:p>
    <w:p w:rsidR="009F6AF5" w:rsidRDefault="009F6AF5">
      <w:pPr>
        <w:tabs>
          <w:tab w:val="left" w:pos="7284"/>
        </w:tabs>
        <w:ind w:left="5664"/>
        <w:jc w:val="both"/>
      </w:pPr>
      <w:r>
        <w:rPr>
          <w:rStyle w:val="a0"/>
          <w:bCs/>
          <w:sz w:val="16"/>
          <w:szCs w:val="16"/>
        </w:rPr>
        <w:t xml:space="preserve">к </w:t>
      </w:r>
      <w:hyperlink w:anchor="sub_1">
        <w:r>
          <w:rPr>
            <w:rStyle w:val="a"/>
            <w:color w:val="00000A"/>
            <w:sz w:val="16"/>
            <w:szCs w:val="16"/>
          </w:rPr>
          <w:t>Порядку</w:t>
        </w:r>
      </w:hyperlink>
      <w:r>
        <w:rPr>
          <w:rStyle w:val="a0"/>
          <w:bCs/>
          <w:sz w:val="16"/>
          <w:szCs w:val="16"/>
        </w:rPr>
        <w:t xml:space="preserve"> разработки, реализации и оценки эффективности муниципальных программ</w:t>
      </w:r>
      <w:r>
        <w:rPr>
          <w:rStyle w:val="a0"/>
          <w:bCs/>
          <w:sz w:val="16"/>
          <w:szCs w:val="16"/>
        </w:rPr>
        <w:br/>
        <w:t>Нязепетровского муниципального района</w:t>
      </w:r>
    </w:p>
    <w:p w:rsidR="009F6AF5" w:rsidRDefault="009F6AF5">
      <w:pPr>
        <w:jc w:val="both"/>
      </w:pPr>
    </w:p>
    <w:p w:rsidR="009F6AF5" w:rsidRDefault="009F6AF5">
      <w:pPr>
        <w:jc w:val="center"/>
        <w:rPr>
          <w:sz w:val="20"/>
          <w:szCs w:val="20"/>
        </w:rPr>
      </w:pPr>
      <w:r>
        <w:rPr>
          <w:sz w:val="20"/>
          <w:szCs w:val="20"/>
        </w:rPr>
        <w:t>Отчет о ходе реализации муниципальной программы</w:t>
      </w:r>
    </w:p>
    <w:p w:rsidR="009F6AF5" w:rsidRDefault="009F6AF5">
      <w:pPr>
        <w:pBdr>
          <w:bottom w:val="single" w:sz="4" w:space="1" w:color="00000A"/>
        </w:pBdr>
        <w:jc w:val="center"/>
        <w:rPr>
          <w:i/>
          <w:sz w:val="20"/>
          <w:szCs w:val="20"/>
        </w:rPr>
      </w:pPr>
    </w:p>
    <w:p w:rsidR="009F6AF5" w:rsidRDefault="009F6AF5">
      <w:pPr>
        <w:pBdr>
          <w:bottom w:val="single" w:sz="4" w:space="1" w:color="00000A"/>
        </w:pBdr>
        <w:jc w:val="center"/>
      </w:pPr>
      <w:r>
        <w:rPr>
          <w:i/>
          <w:sz w:val="20"/>
          <w:szCs w:val="20"/>
        </w:rPr>
        <w:t>Развитие сельского хозяйства в Нязепетровском муниципальном районе</w:t>
      </w:r>
    </w:p>
    <w:p w:rsidR="009F6AF5" w:rsidRDefault="009F6AF5">
      <w:pPr>
        <w:jc w:val="center"/>
        <w:rPr>
          <w:sz w:val="20"/>
          <w:szCs w:val="20"/>
        </w:rPr>
      </w:pPr>
    </w:p>
    <w:p w:rsidR="009F6AF5" w:rsidRDefault="009F6AF5">
      <w:pPr>
        <w:jc w:val="center"/>
      </w:pPr>
      <w:r>
        <w:rPr>
          <w:sz w:val="20"/>
          <w:szCs w:val="20"/>
        </w:rPr>
        <w:t>за 2019 год</w:t>
      </w:r>
    </w:p>
    <w:p w:rsidR="009F6AF5" w:rsidRDefault="009F6AF5">
      <w:pPr>
        <w:jc w:val="center"/>
        <w:rPr>
          <w:sz w:val="20"/>
          <w:szCs w:val="20"/>
        </w:rPr>
      </w:pPr>
    </w:p>
    <w:p w:rsidR="009F6AF5" w:rsidRDefault="009F6AF5">
      <w:r>
        <w:rPr>
          <w:sz w:val="20"/>
          <w:szCs w:val="20"/>
        </w:rPr>
        <w:t>Ответственный исполнитель: Управление сельского хозяйства и продовольствия</w:t>
      </w:r>
    </w:p>
    <w:p w:rsidR="009F6AF5" w:rsidRDefault="009F6AF5">
      <w:pPr>
        <w:rPr>
          <w:sz w:val="20"/>
          <w:szCs w:val="20"/>
        </w:rPr>
      </w:pPr>
    </w:p>
    <w:p w:rsidR="009F6AF5" w:rsidRDefault="009F6A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1   </w:t>
      </w:r>
    </w:p>
    <w:p w:rsidR="009F6AF5" w:rsidRDefault="009F6AF5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W w:w="957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685"/>
        <w:gridCol w:w="2927"/>
        <w:gridCol w:w="1408"/>
        <w:gridCol w:w="1313"/>
        <w:gridCol w:w="1610"/>
        <w:gridCol w:w="1628"/>
      </w:tblGrid>
      <w:tr w:rsidR="009F6AF5">
        <w:trPr>
          <w:trHeight w:val="551"/>
        </w:trPr>
        <w:tc>
          <w:tcPr>
            <w:tcW w:w="684" w:type="dxa"/>
            <w:vMerge w:val="restart"/>
            <w:tcMar>
              <w:left w:w="68" w:type="dxa"/>
            </w:tcMar>
          </w:tcPr>
          <w:p w:rsidR="009F6AF5" w:rsidRDefault="009F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27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2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610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628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F6AF5">
        <w:trPr>
          <w:trHeight w:val="293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9570" w:type="dxa"/>
            <w:gridSpan w:val="6"/>
            <w:tcMar>
              <w:left w:w="68" w:type="dxa"/>
            </w:tcMar>
          </w:tcPr>
          <w:p w:rsidR="009F6AF5" w:rsidRDefault="009F6AF5">
            <w:pPr>
              <w:jc w:val="both"/>
            </w:pPr>
            <w:r>
              <w:rPr>
                <w:sz w:val="20"/>
                <w:szCs w:val="20"/>
              </w:rPr>
              <w:t>1. Мероприятия, направленные на обеспечение реализации задач по развитию сельского хозяйства</w:t>
            </w:r>
          </w:p>
        </w:tc>
      </w:tr>
      <w:tr w:rsidR="009F6AF5">
        <w:trPr>
          <w:trHeight w:val="275"/>
        </w:trPr>
        <w:tc>
          <w:tcPr>
            <w:tcW w:w="684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2927" w:type="dxa"/>
            <w:vMerge w:val="restart"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  <w:r>
              <w:rPr>
                <w:sz w:val="16"/>
                <w:szCs w:val="16"/>
              </w:rPr>
              <w:t>Организационное и техническое обеспечение реализации муниципальной программы — финансовое обеспечение, тыс. рублей</w:t>
            </w:r>
          </w:p>
        </w:tc>
        <w:tc>
          <w:tcPr>
            <w:tcW w:w="272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10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-3733,0*</w:t>
            </w:r>
          </w:p>
        </w:tc>
        <w:tc>
          <w:tcPr>
            <w:tcW w:w="1628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272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6470,0*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2737,0*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272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93"/>
        </w:trPr>
        <w:tc>
          <w:tcPr>
            <w:tcW w:w="9570" w:type="dxa"/>
            <w:gridSpan w:val="6"/>
            <w:tcMar>
              <w:left w:w="68" w:type="dxa"/>
            </w:tcMar>
          </w:tcPr>
          <w:p w:rsidR="009F6AF5" w:rsidRDefault="009F6AF5">
            <w:pPr>
              <w:jc w:val="both"/>
            </w:pPr>
            <w:r>
              <w:rPr>
                <w:sz w:val="20"/>
                <w:szCs w:val="20"/>
              </w:rPr>
              <w:t>2. Мероприятия в области сельскохозяйственного производства, направленных на улучшение общих условий функционирования сельского хозяйства</w:t>
            </w:r>
          </w:p>
          <w:p w:rsidR="009F6AF5" w:rsidRDefault="009F6AF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F6AF5">
        <w:trPr>
          <w:trHeight w:val="293"/>
        </w:trPr>
        <w:tc>
          <w:tcPr>
            <w:tcW w:w="6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927" w:type="dxa"/>
            <w:tcMar>
              <w:left w:w="68" w:type="dxa"/>
            </w:tcMar>
          </w:tcPr>
          <w:p w:rsidR="009F6AF5" w:rsidRDefault="009F6AF5">
            <w:pPr>
              <w:widowControl w:val="0"/>
              <w:jc w:val="center"/>
            </w:pPr>
            <w:r>
              <w:rPr>
                <w:sz w:val="16"/>
                <w:szCs w:val="16"/>
              </w:rPr>
              <w:t>Оказание консультационной помощи по вопросам сельскохозяйственного производства</w:t>
            </w: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10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684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27" w:type="dxa"/>
            <w:vMerge w:val="restart"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  <w:r>
              <w:rPr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272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610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- 40,695</w:t>
            </w:r>
          </w:p>
        </w:tc>
        <w:tc>
          <w:tcPr>
            <w:tcW w:w="1628" w:type="dxa"/>
            <w:vMerge w:val="restart"/>
            <w:tcMar>
              <w:left w:w="68" w:type="dxa"/>
            </w:tcMar>
          </w:tcPr>
          <w:p w:rsidR="009F6AF5" w:rsidRDefault="009F6AF5"/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336,300</w:t>
            </w:r>
          </w:p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295,605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/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10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-0,605</w:t>
            </w:r>
          </w:p>
        </w:tc>
        <w:tc>
          <w:tcPr>
            <w:tcW w:w="1628" w:type="dxa"/>
            <w:vMerge w:val="restart"/>
            <w:tcMar>
              <w:left w:w="68" w:type="dxa"/>
            </w:tcMar>
          </w:tcPr>
          <w:p w:rsidR="009F6AF5" w:rsidRDefault="009F6AF5"/>
        </w:tc>
      </w:tr>
      <w:tr w:rsidR="009F6AF5">
        <w:trPr>
          <w:trHeight w:val="275"/>
        </w:trPr>
        <w:tc>
          <w:tcPr>
            <w:tcW w:w="68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27" w:type="dxa"/>
            <w:vMerge/>
            <w:tcMar>
              <w:left w:w="68" w:type="dxa"/>
            </w:tcMar>
          </w:tcPr>
          <w:p w:rsidR="009F6AF5" w:rsidRDefault="009F6AF5">
            <w:pPr>
              <w:widowControl w:val="0"/>
              <w:jc w:val="both"/>
            </w:pP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4,395</w:t>
            </w:r>
          </w:p>
        </w:tc>
        <w:tc>
          <w:tcPr>
            <w:tcW w:w="1610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Mar>
              <w:left w:w="68" w:type="dxa"/>
            </w:tcMar>
          </w:tcPr>
          <w:p w:rsidR="009F6AF5" w:rsidRDefault="009F6AF5"/>
        </w:tc>
      </w:tr>
      <w:tr w:rsidR="009F6AF5">
        <w:trPr>
          <w:trHeight w:val="275"/>
        </w:trPr>
        <w:tc>
          <w:tcPr>
            <w:tcW w:w="361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Итого по мероприятиям</w:t>
            </w: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341,3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1610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- 41,300</w:t>
            </w:r>
          </w:p>
        </w:tc>
        <w:tc>
          <w:tcPr>
            <w:tcW w:w="162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rPr>
          <w:trHeight w:val="275"/>
        </w:trPr>
        <w:tc>
          <w:tcPr>
            <w:tcW w:w="3611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40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341,3</w:t>
            </w:r>
          </w:p>
        </w:tc>
        <w:tc>
          <w:tcPr>
            <w:tcW w:w="1313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610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- 41,300</w:t>
            </w:r>
          </w:p>
        </w:tc>
        <w:tc>
          <w:tcPr>
            <w:tcW w:w="162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6AF5" w:rsidRDefault="009F6AF5">
      <w:pPr>
        <w:jc w:val="both"/>
      </w:pPr>
      <w:r>
        <w:rPr>
          <w:sz w:val="16"/>
          <w:szCs w:val="16"/>
        </w:rPr>
        <w:t>6470,0*               2737,0*                     - 3733,0*</w:t>
      </w:r>
    </w:p>
    <w:p w:rsidR="009F6AF5" w:rsidRDefault="009F6AF5">
      <w:pPr>
        <w:jc w:val="both"/>
        <w:rPr>
          <w:sz w:val="16"/>
          <w:szCs w:val="16"/>
        </w:rPr>
      </w:pPr>
      <w:r>
        <w:rPr>
          <w:sz w:val="16"/>
          <w:szCs w:val="16"/>
        </w:rPr>
        <w:t>* Средства областного бюджета поступающие на счета сельскохозяйственных предприятий по линии Министерства сельского хозяйства</w:t>
      </w:r>
    </w:p>
    <w:p w:rsidR="009F6AF5" w:rsidRDefault="009F6AF5">
      <w:pPr>
        <w:jc w:val="both"/>
        <w:rPr>
          <w:sz w:val="20"/>
          <w:szCs w:val="20"/>
        </w:rPr>
      </w:pPr>
    </w:p>
    <w:p w:rsidR="009F6AF5" w:rsidRDefault="009F6AF5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 ___________ /_______________/ _________________/</w:t>
      </w:r>
    </w:p>
    <w:p w:rsidR="009F6AF5" w:rsidRDefault="009F6AF5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(подпись, должность, ФИО специалиста финансового управления администрации Нязепетровского муниципального района)</w:t>
      </w:r>
    </w:p>
    <w:p w:rsidR="009F6AF5" w:rsidRDefault="009F6AF5">
      <w:pPr>
        <w:jc w:val="both"/>
        <w:rPr>
          <w:sz w:val="20"/>
          <w:szCs w:val="20"/>
        </w:rPr>
      </w:pPr>
    </w:p>
    <w:p w:rsidR="009F6AF5" w:rsidRDefault="009F6AF5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p w:rsidR="009F6AF5" w:rsidRDefault="009F6AF5">
      <w:pPr>
        <w:jc w:val="center"/>
        <w:rPr>
          <w:sz w:val="20"/>
          <w:szCs w:val="20"/>
        </w:rPr>
      </w:pPr>
    </w:p>
    <w:tbl>
      <w:tblPr>
        <w:tblW w:w="957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665"/>
        <w:gridCol w:w="2903"/>
        <w:gridCol w:w="1383"/>
        <w:gridCol w:w="1392"/>
        <w:gridCol w:w="1751"/>
        <w:gridCol w:w="1477"/>
      </w:tblGrid>
      <w:tr w:rsidR="009F6AF5">
        <w:tc>
          <w:tcPr>
            <w:tcW w:w="665" w:type="dxa"/>
            <w:vMerge w:val="restart"/>
            <w:tcMar>
              <w:left w:w="68" w:type="dxa"/>
            </w:tcMar>
          </w:tcPr>
          <w:p w:rsidR="009F6AF5" w:rsidRDefault="009F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4" w:type="dxa"/>
            <w:vMerge w:val="restart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Индикативные показатели, </w:t>
            </w:r>
          </w:p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ед.измерения %</w:t>
            </w:r>
          </w:p>
        </w:tc>
        <w:tc>
          <w:tcPr>
            <w:tcW w:w="2777" w:type="dxa"/>
            <w:gridSpan w:val="2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7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F6AF5">
        <w:tc>
          <w:tcPr>
            <w:tcW w:w="665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Зерновые и зернобобовые культуры: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Все категории хозяйств: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Посевная площадь, тыс.га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1,24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-0,26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Урожайность, ц/га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+ 2,0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Валовый сбор, тыс. тонн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Картофель: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Посевная площадь, тыс. 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0,400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0,400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Урожайность, ц\га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Валовый сбор, тыс.тонн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Овощные культуры: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Посевная площадь, тыс. 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Урожайность, ц\га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Валовый сбор, тыс.тонн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Кроме того, защищенный грунт: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Посевная площадь, 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Урожайность, ц\га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Валовый сбор, тыс.тонн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Кормопроизводство: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заготовка грубых и сочных кормов на одну условную голову крупного рогатого скота, ц/к.е.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Крупный рогатый скот,гол:</w:t>
            </w:r>
          </w:p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удой молока на короу в год, кг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3619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-191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Среднесуточный привес,гр.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Крупный рогатый скот, гол:</w:t>
            </w:r>
          </w:p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сельскохозяйственные организации 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1175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коровы:</w:t>
            </w:r>
          </w:p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-140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-105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коровы мясные:</w:t>
            </w:r>
          </w:p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Молоко, тонн:</w:t>
            </w:r>
          </w:p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1205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прироста живой массы от выращивания, откорма и нагула</w:t>
            </w:r>
          </w:p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категории хозяйств, тонн: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сельскохозяйственные организации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Из них прироста живой массы крупного рогатого скота: все категории хозяйств, тонн.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  <w:tr w:rsidR="009F6AF5">
        <w:tc>
          <w:tcPr>
            <w:tcW w:w="665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2904" w:type="dxa"/>
            <w:tcMar>
              <w:left w:w="68" w:type="dxa"/>
            </w:tcMar>
          </w:tcPr>
          <w:p w:rsidR="009F6AF5" w:rsidRDefault="009F6AF5">
            <w:pPr>
              <w:widowControl w:val="0"/>
            </w:pPr>
            <w:r>
              <w:rPr>
                <w:sz w:val="16"/>
                <w:szCs w:val="16"/>
              </w:rPr>
              <w:t>В том числе сельскохозяйственные организации, тонн</w:t>
            </w:r>
          </w:p>
        </w:tc>
        <w:tc>
          <w:tcPr>
            <w:tcW w:w="1384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88" w:type="dxa"/>
            <w:tcMar>
              <w:left w:w="68" w:type="dxa"/>
            </w:tcMar>
          </w:tcPr>
          <w:p w:rsidR="009F6AF5" w:rsidRDefault="009F6AF5">
            <w:pPr>
              <w:jc w:val="center"/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752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1477" w:type="dxa"/>
            <w:tcMar>
              <w:left w:w="68" w:type="dxa"/>
            </w:tcMar>
          </w:tcPr>
          <w:p w:rsidR="009F6AF5" w:rsidRDefault="009F6A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6AF5" w:rsidRDefault="009F6AF5">
      <w:pPr>
        <w:jc w:val="center"/>
        <w:rPr>
          <w:sz w:val="20"/>
          <w:szCs w:val="20"/>
        </w:rPr>
      </w:pPr>
    </w:p>
    <w:p w:rsidR="009F6AF5" w:rsidRDefault="009F6AF5">
      <w:pPr>
        <w:jc w:val="center"/>
        <w:rPr>
          <w:sz w:val="20"/>
          <w:szCs w:val="20"/>
        </w:rPr>
      </w:pPr>
    </w:p>
    <w:p w:rsidR="009F6AF5" w:rsidRDefault="009F6AF5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Текстовая часть</w:t>
      </w:r>
    </w:p>
    <w:p w:rsidR="009F6AF5" w:rsidRDefault="009F6AF5">
      <w:pPr>
        <w:ind w:firstLine="708"/>
        <w:jc w:val="both"/>
        <w:rPr>
          <w:sz w:val="20"/>
          <w:szCs w:val="20"/>
        </w:rPr>
      </w:pPr>
    </w:p>
    <w:p w:rsidR="009F6AF5" w:rsidRDefault="009F6AF5">
      <w:pPr>
        <w:ind w:firstLine="708"/>
        <w:jc w:val="both"/>
      </w:pPr>
      <w:r>
        <w:rPr>
          <w:sz w:val="20"/>
          <w:szCs w:val="20"/>
        </w:rPr>
        <w:t>В 2019 на разработку и внедрение цифровых технологий из местного бюджета финансирование составляло 5,0 тысяч рублей, из областного бюджета 336,3 тыс. рублей. На организационное и техническое обеспечение реализации муниципальной программы 6470,0 тыс. рублей было запланировано из областного бюджета, но сумма 6470,0 тыс. рублей поступает напрямую сельскохозяйственным предприятиям, и следовательно она относится к внебюджетным источникам. Постановлением от  10.02.2020г. № 88 были внесены изменения в программу в этой части на 2020-2022 годы.</w:t>
      </w:r>
    </w:p>
    <w:p w:rsidR="009F6AF5" w:rsidRDefault="009F6AF5">
      <w:pPr>
        <w:ind w:firstLine="708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Анализ факторов, повлиявших на ход реализации муниципальной программы;</w:t>
      </w:r>
    </w:p>
    <w:p w:rsidR="009F6AF5" w:rsidRDefault="009F6AF5">
      <w:pPr>
        <w:ind w:firstLine="708"/>
        <w:jc w:val="both"/>
      </w:pPr>
      <w:r>
        <w:rPr>
          <w:sz w:val="20"/>
          <w:szCs w:val="20"/>
        </w:rPr>
        <w:t>На невыполнение индикативного показателя производство молока сельскохозяйственных предприятий повлияло снижения поголовья коров сельскохозяйственных организациях. Снижение общего поголовья животных, повлекло за собой невыполнения плана по производству прироста живой массы.</w:t>
      </w:r>
    </w:p>
    <w:p w:rsidR="009F6AF5" w:rsidRDefault="009F6AF5">
      <w:pPr>
        <w:ind w:firstLine="708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Данные об использовании бюджетных ассигнований и иных средств на выполнение мероприятий;</w:t>
      </w:r>
    </w:p>
    <w:p w:rsidR="009F6AF5" w:rsidRDefault="009F6AF5">
      <w:pPr>
        <w:ind w:firstLine="708"/>
      </w:pPr>
      <w:r>
        <w:rPr>
          <w:sz w:val="20"/>
          <w:szCs w:val="20"/>
        </w:rPr>
        <w:t>Средства поступившие из областного и местного бюджета были использованы не в полном объеме. Остаток средств  составил 41,3 тыс. рублей.</w:t>
      </w:r>
    </w:p>
    <w:p w:rsidR="009F6AF5" w:rsidRDefault="009F6AF5">
      <w:pPr>
        <w:ind w:firstLine="708"/>
        <w:rPr>
          <w:color w:val="8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Информация о внесенных ответственным исполнителем изменениях в муниципальную программу;</w:t>
      </w:r>
    </w:p>
    <w:p w:rsidR="009F6AF5" w:rsidRDefault="009F6AF5">
      <w:pPr>
        <w:ind w:firstLine="708"/>
      </w:pPr>
      <w:r>
        <w:rPr>
          <w:sz w:val="20"/>
          <w:szCs w:val="20"/>
        </w:rPr>
        <w:t>Изменений не вносили.</w:t>
      </w:r>
    </w:p>
    <w:p w:rsidR="009F6AF5" w:rsidRDefault="009F6AF5">
      <w:pPr>
        <w:ind w:firstLine="708"/>
        <w:rPr>
          <w:b/>
          <w:bCs/>
        </w:rPr>
      </w:pPr>
      <w:r>
        <w:rPr>
          <w:b/>
          <w:bCs/>
          <w:sz w:val="20"/>
          <w:szCs w:val="20"/>
        </w:rPr>
        <w:t>Оценка эффективности в соответствие с методикой определенной муниципальной программой</w:t>
      </w:r>
    </w:p>
    <w:p w:rsidR="009F6AF5" w:rsidRDefault="009F6AF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Оценка эффективности использования бюджетных средств на реализацию каждого мероприятия программы (О) рассчитывается по формуле:</w:t>
      </w:r>
    </w:p>
    <w:p w:rsidR="009F6AF5" w:rsidRDefault="009F6AF5">
      <w:pPr>
        <w:ind w:left="560"/>
        <w:jc w:val="both"/>
        <w:rPr>
          <w:sz w:val="20"/>
          <w:szCs w:val="20"/>
        </w:rPr>
      </w:pPr>
    </w:p>
    <w:p w:rsidR="009F6AF5" w:rsidRDefault="009F6AF5">
      <w:pPr>
        <w:ind w:left="560"/>
        <w:jc w:val="both"/>
      </w:pPr>
      <w:r w:rsidRPr="00A622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3" o:spid="_x0000_i1025" type="#_x0000_t75" style="width:52.5pt;height:26.25pt;visibility:visible">
            <v:imagedata r:id="rId4" o:title=""/>
          </v:shape>
        </w:pict>
      </w:r>
      <w:r>
        <w:rPr>
          <w:sz w:val="20"/>
          <w:szCs w:val="20"/>
        </w:rPr>
        <w:t xml:space="preserve">= 1,13, </w:t>
      </w:r>
    </w:p>
    <w:p w:rsidR="009F6AF5" w:rsidRDefault="009F6AF5">
      <w:pPr>
        <w:ind w:left="560"/>
        <w:jc w:val="both"/>
      </w:pPr>
      <w:r>
        <w:rPr>
          <w:sz w:val="20"/>
          <w:szCs w:val="20"/>
        </w:rPr>
        <w:t>где ДИП – достижение плановых индикативных показателей</w:t>
      </w:r>
    </w:p>
    <w:p w:rsidR="009F6AF5" w:rsidRDefault="009F6AF5">
      <w:pPr>
        <w:ind w:left="560"/>
        <w:jc w:val="both"/>
        <w:rPr>
          <w:sz w:val="20"/>
          <w:szCs w:val="20"/>
        </w:rPr>
      </w:pPr>
      <w:r>
        <w:rPr>
          <w:sz w:val="20"/>
          <w:szCs w:val="20"/>
        </w:rPr>
        <w:t>ПИБС – полнота использования бюджетных средств</w:t>
      </w:r>
    </w:p>
    <w:p w:rsidR="009F6AF5" w:rsidRDefault="009F6AF5">
      <w:pPr>
        <w:ind w:left="560"/>
        <w:rPr>
          <w:sz w:val="20"/>
          <w:szCs w:val="20"/>
        </w:rPr>
      </w:pPr>
    </w:p>
    <w:p w:rsidR="009F6AF5" w:rsidRDefault="009F6AF5">
      <w:pPr>
        <w:ind w:left="560"/>
        <w:rPr>
          <w:sz w:val="20"/>
          <w:szCs w:val="20"/>
        </w:rPr>
      </w:pPr>
      <w:r>
        <w:rPr>
          <w:sz w:val="20"/>
          <w:szCs w:val="20"/>
        </w:rPr>
        <w:t>Достижение индикативных плановых показателей (ДИП) рассчитывается по формуле:</w:t>
      </w:r>
    </w:p>
    <w:p w:rsidR="009F6AF5" w:rsidRDefault="009F6AF5">
      <w:pPr>
        <w:ind w:left="560"/>
        <w:jc w:val="center"/>
        <w:rPr>
          <w:sz w:val="20"/>
          <w:szCs w:val="20"/>
        </w:rPr>
      </w:pPr>
    </w:p>
    <w:p w:rsidR="009F6AF5" w:rsidRDefault="009F6AF5">
      <w:pPr>
        <w:ind w:left="560"/>
      </w:pPr>
      <w:r w:rsidRPr="00A622AC">
        <w:rPr>
          <w:noProof/>
        </w:rPr>
        <w:pict>
          <v:shape id="Рисунок2" o:spid="_x0000_i1026" type="#_x0000_t75" style="width:69pt;height:27pt;visibility:visible">
            <v:imagedata r:id="rId5" o:title=""/>
          </v:shape>
        </w:pict>
      </w:r>
      <w:r>
        <w:rPr>
          <w:sz w:val="20"/>
          <w:szCs w:val="20"/>
        </w:rPr>
        <w:t xml:space="preserve">= 99,5, </w:t>
      </w:r>
    </w:p>
    <w:p w:rsidR="009F6AF5" w:rsidRDefault="009F6AF5">
      <w:pPr>
        <w:ind w:left="560"/>
        <w:rPr>
          <w:sz w:val="20"/>
          <w:szCs w:val="20"/>
        </w:rPr>
      </w:pPr>
      <w:r>
        <w:rPr>
          <w:sz w:val="20"/>
          <w:szCs w:val="20"/>
        </w:rPr>
        <w:t>где ФИП – фактические значения индикативных показателей</w:t>
      </w:r>
    </w:p>
    <w:p w:rsidR="009F6AF5" w:rsidRDefault="009F6AF5">
      <w:pPr>
        <w:ind w:left="560"/>
        <w:rPr>
          <w:sz w:val="20"/>
          <w:szCs w:val="20"/>
        </w:rPr>
      </w:pPr>
      <w:r>
        <w:rPr>
          <w:sz w:val="20"/>
          <w:szCs w:val="20"/>
        </w:rPr>
        <w:t>ПИП – плановые значения индикативных показателей</w:t>
      </w:r>
    </w:p>
    <w:p w:rsidR="009F6AF5" w:rsidRDefault="009F6AF5">
      <w:pPr>
        <w:ind w:left="920"/>
        <w:rPr>
          <w:sz w:val="20"/>
          <w:szCs w:val="20"/>
        </w:rPr>
      </w:pPr>
    </w:p>
    <w:p w:rsidR="009F6AF5" w:rsidRDefault="009F6AF5">
      <w:pPr>
        <w:ind w:left="560"/>
        <w:rPr>
          <w:sz w:val="20"/>
          <w:szCs w:val="20"/>
        </w:rPr>
      </w:pPr>
      <w:r>
        <w:rPr>
          <w:sz w:val="20"/>
          <w:szCs w:val="20"/>
        </w:rPr>
        <w:t>Полнота использования бюджетных средств (ПИБС)рассчитывается по формуле:</w:t>
      </w:r>
    </w:p>
    <w:p w:rsidR="009F6AF5" w:rsidRDefault="009F6AF5">
      <w:pPr>
        <w:ind w:left="560"/>
        <w:rPr>
          <w:sz w:val="20"/>
          <w:szCs w:val="20"/>
        </w:rPr>
      </w:pPr>
    </w:p>
    <w:p w:rsidR="009F6AF5" w:rsidRDefault="009F6AF5">
      <w:pPr>
        <w:ind w:left="560"/>
      </w:pPr>
      <w:r w:rsidRPr="00A622AC">
        <w:rPr>
          <w:noProof/>
        </w:rPr>
        <w:pict>
          <v:shape id="Рисунок1" o:spid="_x0000_i1027" type="#_x0000_t75" style="width:81pt;height:27pt;visibility:visible">
            <v:imagedata r:id="rId6" o:title=""/>
          </v:shape>
        </w:pict>
      </w:r>
      <w:r>
        <w:rPr>
          <w:sz w:val="20"/>
          <w:szCs w:val="20"/>
        </w:rPr>
        <w:t>,    = 87,9</w:t>
      </w:r>
    </w:p>
    <w:p w:rsidR="009F6AF5" w:rsidRDefault="009F6AF5">
      <w:pPr>
        <w:ind w:left="560"/>
        <w:rPr>
          <w:sz w:val="20"/>
          <w:szCs w:val="20"/>
        </w:rPr>
      </w:pPr>
      <w:r>
        <w:rPr>
          <w:sz w:val="20"/>
          <w:szCs w:val="20"/>
        </w:rPr>
        <w:t xml:space="preserve">где   ФОБС – фактический объем бюджетных средств </w:t>
      </w:r>
    </w:p>
    <w:p w:rsidR="009F6AF5" w:rsidRDefault="009F6AF5">
      <w:pPr>
        <w:tabs>
          <w:tab w:val="left" w:pos="709"/>
        </w:tabs>
        <w:ind w:left="560"/>
        <w:rPr>
          <w:sz w:val="20"/>
          <w:szCs w:val="20"/>
        </w:rPr>
      </w:pPr>
      <w:r>
        <w:rPr>
          <w:sz w:val="20"/>
          <w:szCs w:val="20"/>
        </w:rPr>
        <w:t>ПОБС – плановый объем бюджетных средств</w:t>
      </w:r>
    </w:p>
    <w:p w:rsidR="009F6AF5" w:rsidRDefault="009F6AF5">
      <w:pPr>
        <w:ind w:firstLine="560"/>
        <w:rPr>
          <w:color w:val="000000"/>
        </w:rPr>
      </w:pPr>
    </w:p>
    <w:p w:rsidR="009F6AF5" w:rsidRDefault="009F6AF5">
      <w:pP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Эффективность программы признается высокой.</w:t>
      </w:r>
    </w:p>
    <w:p w:rsidR="009F6AF5" w:rsidRDefault="009F6AF5">
      <w:pPr>
        <w:ind w:firstLine="708"/>
        <w:jc w:val="both"/>
        <w:rPr>
          <w:b/>
          <w:bCs/>
        </w:rPr>
      </w:pPr>
    </w:p>
    <w:p w:rsidR="009F6AF5" w:rsidRDefault="009F6AF5">
      <w:r>
        <w:rPr>
          <w:rStyle w:val="a0"/>
          <w:b w:val="0"/>
          <w:bCs/>
          <w:sz w:val="20"/>
          <w:szCs w:val="20"/>
        </w:rPr>
        <w:t>12.02.2020г.</w:t>
      </w:r>
    </w:p>
    <w:p w:rsidR="009F6AF5" w:rsidRDefault="009F6AF5">
      <w:r>
        <w:rPr>
          <w:rStyle w:val="a0"/>
          <w:b w:val="0"/>
          <w:bCs/>
          <w:sz w:val="20"/>
          <w:szCs w:val="20"/>
        </w:rPr>
        <w:t xml:space="preserve">Начальник управления                        </w:t>
      </w:r>
      <w:r>
        <w:rPr>
          <w:rStyle w:val="a0"/>
          <w:b w:val="0"/>
          <w:bCs/>
          <w:sz w:val="20"/>
          <w:szCs w:val="20"/>
        </w:rPr>
        <w:tab/>
      </w:r>
      <w:r>
        <w:rPr>
          <w:rStyle w:val="a0"/>
          <w:b w:val="0"/>
          <w:bCs/>
          <w:sz w:val="20"/>
          <w:szCs w:val="20"/>
        </w:rPr>
        <w:tab/>
      </w:r>
      <w:r>
        <w:rPr>
          <w:rStyle w:val="a0"/>
          <w:b w:val="0"/>
          <w:bCs/>
          <w:sz w:val="20"/>
          <w:szCs w:val="20"/>
        </w:rPr>
        <w:tab/>
        <w:t xml:space="preserve">                            В.М. Егоров</w:t>
      </w:r>
    </w:p>
    <w:p w:rsidR="009F6AF5" w:rsidRDefault="009F6AF5">
      <w:pPr>
        <w:rPr>
          <w:rStyle w:val="a0"/>
          <w:b w:val="0"/>
          <w:bCs/>
          <w:sz w:val="20"/>
          <w:szCs w:val="20"/>
        </w:rPr>
      </w:pPr>
    </w:p>
    <w:p w:rsidR="009F6AF5" w:rsidRDefault="009F6AF5">
      <w:pPr>
        <w:rPr>
          <w:rStyle w:val="a0"/>
          <w:b w:val="0"/>
          <w:bCs/>
          <w:sz w:val="20"/>
          <w:szCs w:val="20"/>
        </w:rPr>
      </w:pPr>
    </w:p>
    <w:p w:rsidR="009F6AF5" w:rsidRDefault="009F6AF5">
      <w:pPr>
        <w:rPr>
          <w:rStyle w:val="a0"/>
          <w:b w:val="0"/>
          <w:bCs/>
        </w:rPr>
      </w:pPr>
    </w:p>
    <w:p w:rsidR="009F6AF5" w:rsidRDefault="009F6AF5">
      <w:pPr>
        <w:rPr>
          <w:rStyle w:val="a0"/>
          <w:b w:val="0"/>
          <w:bCs/>
        </w:rPr>
      </w:pPr>
    </w:p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/>
    <w:p w:rsidR="009F6AF5" w:rsidRDefault="009F6AF5">
      <w:r>
        <w:rPr>
          <w:sz w:val="16"/>
          <w:szCs w:val="16"/>
        </w:rPr>
        <w:t>исп.</w:t>
      </w:r>
    </w:p>
    <w:p w:rsidR="009F6AF5" w:rsidRDefault="009F6AF5">
      <w:r>
        <w:rPr>
          <w:sz w:val="16"/>
          <w:szCs w:val="16"/>
        </w:rPr>
        <w:t>Умурзакова О.А.</w:t>
      </w:r>
    </w:p>
    <w:sectPr w:rsidR="009F6AF5" w:rsidSect="00C235F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5F4"/>
    <w:rsid w:val="00392490"/>
    <w:rsid w:val="0094635E"/>
    <w:rsid w:val="009F6AF5"/>
    <w:rsid w:val="00A622AC"/>
    <w:rsid w:val="00AC7343"/>
    <w:rsid w:val="00C2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Pr>
      <w:color w:val="106BBE"/>
    </w:rPr>
  </w:style>
  <w:style w:type="character" w:customStyle="1" w:styleId="a0">
    <w:name w:val="Цветовое выделение"/>
    <w:uiPriority w:val="99"/>
    <w:rPr>
      <w:b/>
      <w:color w:val="26282F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6AF1"/>
    <w:rPr>
      <w:rFonts w:ascii="Times New Roman" w:eastAsia="Times New Roman" w:hAnsi="Times New Roman"/>
      <w:color w:val="00000A"/>
      <w:sz w:val="24"/>
      <w:szCs w:val="24"/>
    </w:rPr>
  </w:style>
  <w:style w:type="paragraph" w:styleId="List">
    <w:name w:val="List"/>
    <w:basedOn w:val="BodyText"/>
    <w:uiPriority w:val="99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235F4"/>
    <w:pPr>
      <w:suppressLineNumbers/>
      <w:spacing w:before="120" w:after="120"/>
    </w:pPr>
    <w:rPr>
      <w:rFonts w:cs="FreeSans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996AF1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pPr>
      <w:suppressLineNumbers/>
    </w:pPr>
    <w:rPr>
      <w:rFonts w:cs="FreeSans"/>
    </w:rPr>
  </w:style>
  <w:style w:type="paragraph" w:customStyle="1" w:styleId="a2">
    <w:name w:val="Заглавие"/>
    <w:basedOn w:val="Normal"/>
    <w:uiPriority w:val="99"/>
    <w:pPr>
      <w:suppressLineNumbers/>
      <w:spacing w:before="120" w:after="120"/>
    </w:pPr>
    <w:rPr>
      <w:rFonts w:cs="FreeSans"/>
      <w:i/>
      <w:iCs/>
    </w:rPr>
  </w:style>
  <w:style w:type="paragraph" w:customStyle="1" w:styleId="a3">
    <w:name w:val="Содержимое таблицы"/>
    <w:basedOn w:val="Normal"/>
    <w:uiPriority w:val="99"/>
  </w:style>
  <w:style w:type="paragraph" w:customStyle="1" w:styleId="a4">
    <w:name w:val="Заголовок таблицы"/>
    <w:basedOn w:val="a3"/>
    <w:uiPriority w:val="99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837</Words>
  <Characters>4774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fu_user</dc:creator>
  <cp:keywords/>
  <dc:description/>
  <cp:lastModifiedBy>Windows XP</cp:lastModifiedBy>
  <cp:revision>2</cp:revision>
  <cp:lastPrinted>2020-02-12T09:39:00Z</cp:lastPrinted>
  <dcterms:created xsi:type="dcterms:W3CDTF">2020-02-12T08:27:00Z</dcterms:created>
  <dcterms:modified xsi:type="dcterms:W3CDTF">2020-02-12T08:27:00Z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