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25" w:rsidRDefault="00EF4B25" w:rsidP="00EF4B25">
      <w:pPr>
        <w:ind w:right="-1"/>
        <w:rPr>
          <w:bCs/>
        </w:rPr>
      </w:pPr>
    </w:p>
    <w:p w:rsidR="00EF4B25" w:rsidRDefault="00EF4B25" w:rsidP="00EF4B25">
      <w:pPr>
        <w:ind w:right="-1"/>
        <w:rPr>
          <w:bCs/>
        </w:rPr>
      </w:pPr>
    </w:p>
    <w:p w:rsidR="00EF4B25" w:rsidRDefault="00EF4B25" w:rsidP="00EF4B25">
      <w:pPr>
        <w:rPr>
          <w:bCs/>
        </w:rPr>
      </w:pPr>
    </w:p>
    <w:p w:rsidR="00EF4B25" w:rsidRDefault="00EF4B25" w:rsidP="00EF4B25">
      <w:pPr>
        <w:ind w:left="5670"/>
        <w:jc w:val="center"/>
      </w:pPr>
      <w:r>
        <w:rPr>
          <w:rStyle w:val="a3"/>
          <w:bCs/>
          <w:sz w:val="16"/>
          <w:szCs w:val="16"/>
        </w:rPr>
        <w:t>Приложение 3</w:t>
      </w:r>
    </w:p>
    <w:p w:rsidR="00EF4B25" w:rsidRDefault="00EF4B25" w:rsidP="00EF4B25">
      <w:pPr>
        <w:tabs>
          <w:tab w:val="left" w:pos="7284"/>
        </w:tabs>
        <w:ind w:left="5664"/>
        <w:jc w:val="both"/>
      </w:pPr>
      <w:r>
        <w:rPr>
          <w:rStyle w:val="a3"/>
          <w:bCs/>
          <w:sz w:val="16"/>
          <w:szCs w:val="16"/>
        </w:rPr>
        <w:t xml:space="preserve">к </w:t>
      </w:r>
      <w:hyperlink w:anchor="sub_1" w:history="1">
        <w:r>
          <w:rPr>
            <w:rStyle w:val="a4"/>
            <w:sz w:val="16"/>
            <w:szCs w:val="16"/>
          </w:rPr>
          <w:t>Порядку</w:t>
        </w:r>
      </w:hyperlink>
      <w:r>
        <w:rPr>
          <w:rStyle w:val="a3"/>
          <w:bCs/>
          <w:sz w:val="16"/>
          <w:szCs w:val="16"/>
        </w:rPr>
        <w:t xml:space="preserve"> разработки, реализации и оценки эффективности муниципальных программ</w:t>
      </w:r>
      <w:r>
        <w:rPr>
          <w:rStyle w:val="a3"/>
          <w:bCs/>
          <w:sz w:val="16"/>
          <w:szCs w:val="16"/>
        </w:rPr>
        <w:br/>
        <w:t>Нязепетровского муниципального района</w:t>
      </w:r>
    </w:p>
    <w:p w:rsidR="00EF4B25" w:rsidRDefault="00EF4B25" w:rsidP="00EF4B25">
      <w:pPr>
        <w:jc w:val="both"/>
      </w:pPr>
    </w:p>
    <w:p w:rsidR="00EF4B25" w:rsidRDefault="00EF4B25" w:rsidP="00EF4B25">
      <w:pPr>
        <w:jc w:val="both"/>
      </w:pPr>
    </w:p>
    <w:p w:rsidR="00EF4B25" w:rsidRDefault="00EF4B25" w:rsidP="00EF4B25">
      <w:pPr>
        <w:jc w:val="both"/>
      </w:pPr>
    </w:p>
    <w:p w:rsidR="00EF4B25" w:rsidRDefault="00EF4B25" w:rsidP="00EF4B25">
      <w:pPr>
        <w:jc w:val="center"/>
      </w:pPr>
      <w:r>
        <w:rPr>
          <w:sz w:val="20"/>
          <w:szCs w:val="20"/>
        </w:rPr>
        <w:t>Отчет о ходе реализации муниципальной программы</w:t>
      </w:r>
    </w:p>
    <w:p w:rsidR="00EF4B25" w:rsidRDefault="00EF4B25" w:rsidP="00EF4B25">
      <w:pPr>
        <w:jc w:val="center"/>
        <w:rPr>
          <w:sz w:val="20"/>
          <w:szCs w:val="20"/>
        </w:rPr>
      </w:pPr>
    </w:p>
    <w:p w:rsidR="00EF4B25" w:rsidRDefault="00EF4B25" w:rsidP="00EF4B25">
      <w:pPr>
        <w:jc w:val="center"/>
      </w:pPr>
      <w:r>
        <w:rPr>
          <w:bCs/>
          <w:color w:val="000000"/>
        </w:rPr>
        <w:t>«Профилактика экстремизма и терроризма на территории Нязепетровского муниципального района</w:t>
      </w:r>
      <w:r>
        <w:rPr>
          <w:sz w:val="20"/>
          <w:szCs w:val="20"/>
        </w:rPr>
        <w:t xml:space="preserve"> </w:t>
      </w:r>
    </w:p>
    <w:p w:rsidR="00EF4B25" w:rsidRDefault="00EF4B25" w:rsidP="00EF4B25">
      <w:pPr>
        <w:jc w:val="center"/>
      </w:pPr>
      <w:r>
        <w:rPr>
          <w:sz w:val="20"/>
          <w:szCs w:val="20"/>
        </w:rPr>
        <w:t>за 2021 год</w:t>
      </w:r>
    </w:p>
    <w:p w:rsidR="00EF4B25" w:rsidRDefault="00EF4B25" w:rsidP="00EF4B25">
      <w:pPr>
        <w:jc w:val="center"/>
        <w:rPr>
          <w:sz w:val="20"/>
          <w:szCs w:val="20"/>
        </w:rPr>
      </w:pPr>
    </w:p>
    <w:p w:rsidR="00EF4B25" w:rsidRDefault="00EF4B25" w:rsidP="00EF4B25">
      <w:r>
        <w:t>Ответственный исполнитель: Администрация Нязепетровского муниципального района</w:t>
      </w:r>
    </w:p>
    <w:p w:rsidR="00EF4B25" w:rsidRDefault="00EF4B25" w:rsidP="00EF4B25">
      <w:pPr>
        <w:rPr>
          <w:sz w:val="20"/>
          <w:szCs w:val="20"/>
        </w:rPr>
      </w:pPr>
    </w:p>
    <w:p w:rsidR="00EF4B25" w:rsidRDefault="00EF4B25" w:rsidP="00EF4B25">
      <w:pPr>
        <w:jc w:val="right"/>
      </w:pPr>
      <w:r>
        <w:rPr>
          <w:sz w:val="20"/>
          <w:szCs w:val="20"/>
        </w:rPr>
        <w:t xml:space="preserve">таблица 1   </w:t>
      </w:r>
    </w:p>
    <w:p w:rsidR="00EF4B25" w:rsidRDefault="00EF4B25" w:rsidP="00EF4B25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2892"/>
        <w:gridCol w:w="1360"/>
        <w:gridCol w:w="1258"/>
        <w:gridCol w:w="1577"/>
        <w:gridCol w:w="1624"/>
      </w:tblGrid>
      <w:tr w:rsidR="00EF4B25" w:rsidTr="003440F1">
        <w:trPr>
          <w:trHeight w:val="551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F4B25" w:rsidTr="003440F1">
        <w:trPr>
          <w:trHeight w:val="293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4B25" w:rsidTr="003440F1">
        <w:trPr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Проведение праздника народного Единства и фестиваля дружбы народов, мероприятий для детей и молодежи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F4B25" w:rsidRDefault="00EF4B25" w:rsidP="00EF4B25">
      <w:pPr>
        <w:jc w:val="center"/>
        <w:rPr>
          <w:sz w:val="20"/>
          <w:szCs w:val="20"/>
        </w:rPr>
      </w:pPr>
    </w:p>
    <w:p w:rsidR="00EF4B25" w:rsidRDefault="00EF4B25" w:rsidP="00EF4B25">
      <w:pPr>
        <w:jc w:val="both"/>
      </w:pPr>
      <w:r>
        <w:t>Согласовано: ___________ /_______________/ _________________/</w:t>
      </w:r>
    </w:p>
    <w:p w:rsidR="00EF4B25" w:rsidRDefault="00EF4B25" w:rsidP="00EF4B25">
      <w:pPr>
        <w:jc w:val="both"/>
      </w:pPr>
      <w:r>
        <w:t>(подпись, должность, ФИО специалиста финансового управления администрации Нязепетровского муниципального района)</w:t>
      </w:r>
    </w:p>
    <w:p w:rsidR="00EF4B25" w:rsidRDefault="00EF4B25" w:rsidP="00EF4B25">
      <w:pPr>
        <w:jc w:val="both"/>
      </w:pPr>
    </w:p>
    <w:p w:rsidR="00EF4B25" w:rsidRDefault="00EF4B25" w:rsidP="00EF4B25">
      <w:pPr>
        <w:jc w:val="right"/>
      </w:pPr>
      <w:r>
        <w:rPr>
          <w:sz w:val="20"/>
          <w:szCs w:val="20"/>
        </w:rPr>
        <w:t>таблица 2</w:t>
      </w:r>
    </w:p>
    <w:p w:rsidR="00EF4B25" w:rsidRDefault="00EF4B25" w:rsidP="00EF4B25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0"/>
        <w:gridCol w:w="2731"/>
        <w:gridCol w:w="1222"/>
        <w:gridCol w:w="1200"/>
        <w:gridCol w:w="1626"/>
        <w:gridCol w:w="1975"/>
      </w:tblGrid>
      <w:tr w:rsidR="00EF4B25" w:rsidTr="003440F1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 xml:space="preserve">Индикативные показатели, </w:t>
            </w:r>
          </w:p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ед.измерения %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Значения индикативных показателей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F4B25" w:rsidTr="003440F1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F4B25" w:rsidTr="003440F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 xml:space="preserve">Доля образовательных организаций, оснащенных системами видеонаблюдения.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199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22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snapToGrid w:val="0"/>
              <w:jc w:val="center"/>
            </w:pPr>
          </w:p>
        </w:tc>
      </w:tr>
      <w:tr w:rsidR="00EF4B25" w:rsidTr="003440F1">
        <w:trPr>
          <w:trHeight w:val="2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Количество материалов в СМИ, направленных на информирование населения о безопасном поведении в экстремальных ситуациях.</w:t>
            </w:r>
          </w:p>
          <w:p w:rsidR="00EF4B25" w:rsidRDefault="00EF4B25" w:rsidP="003440F1">
            <w:pPr>
              <w:ind w:left="62" w:righ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199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22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F4B25" w:rsidTr="003440F1">
        <w:trPr>
          <w:trHeight w:val="2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Количество комплексных обследований объектов жизнеобеспечения, потенциально опасных объектов.</w:t>
            </w:r>
          </w:p>
          <w:p w:rsidR="00EF4B25" w:rsidRDefault="00EF4B25" w:rsidP="003440F1">
            <w:pPr>
              <w:ind w:left="62" w:righ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199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22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F4B25" w:rsidTr="003440F1">
        <w:trPr>
          <w:trHeight w:val="2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Количество проведенных учебных тренировок.</w:t>
            </w:r>
          </w:p>
          <w:p w:rsidR="00EF4B25" w:rsidRDefault="00EF4B25" w:rsidP="003440F1">
            <w:pPr>
              <w:ind w:left="62" w:righ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199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22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 xml:space="preserve"> Оптимизация системы организаций</w:t>
            </w:r>
          </w:p>
        </w:tc>
      </w:tr>
      <w:tr w:rsidR="00EF4B25" w:rsidTr="003440F1">
        <w:trPr>
          <w:trHeight w:val="2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Количество молодежи, вовлеченной в добровольческую профилактическую деятельность.</w:t>
            </w:r>
          </w:p>
          <w:p w:rsidR="00EF4B25" w:rsidRDefault="00EF4B25" w:rsidP="003440F1">
            <w:pPr>
              <w:ind w:left="62" w:righ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199"/>
              <w:jc w:val="center"/>
            </w:pPr>
            <w:r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22"/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t>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F4B25" w:rsidTr="003440F1">
        <w:trPr>
          <w:trHeight w:val="2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tabs>
                <w:tab w:val="left" w:pos="0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Количество проведенных мероприятий, направленных на социально-нравственное воспитание.</w:t>
            </w:r>
          </w:p>
          <w:p w:rsidR="00EF4B25" w:rsidRDefault="00EF4B25" w:rsidP="003440F1">
            <w:pPr>
              <w:ind w:left="62" w:righ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ind w:left="199"/>
              <w:jc w:val="center"/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t>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25" w:rsidRDefault="00EF4B25" w:rsidP="003440F1">
            <w:pPr>
              <w:jc w:val="center"/>
            </w:pPr>
            <w:r>
              <w:rPr>
                <w:sz w:val="22"/>
                <w:szCs w:val="22"/>
              </w:rPr>
              <w:t>Отмена мероприятий в связи с ограничениями по ковиду</w:t>
            </w:r>
          </w:p>
        </w:tc>
      </w:tr>
    </w:tbl>
    <w:p w:rsidR="00EF4B25" w:rsidRDefault="00EF4B25" w:rsidP="00EF4B25">
      <w:pPr>
        <w:jc w:val="center"/>
        <w:rPr>
          <w:sz w:val="22"/>
          <w:szCs w:val="22"/>
        </w:rPr>
      </w:pPr>
    </w:p>
    <w:p w:rsidR="00EF4B25" w:rsidRDefault="00EF4B25" w:rsidP="00EF4B25">
      <w:pPr>
        <w:jc w:val="center"/>
        <w:rPr>
          <w:sz w:val="20"/>
          <w:szCs w:val="20"/>
        </w:rPr>
      </w:pPr>
    </w:p>
    <w:p w:rsidR="00EF4B25" w:rsidRDefault="00EF4B25" w:rsidP="00EF4B25">
      <w:pPr>
        <w:ind w:firstLine="708"/>
        <w:jc w:val="both"/>
      </w:pPr>
      <w:r>
        <w:t>В числе факторов, повлиявших на ход реализации муниципальной программы необходимо отметить:</w:t>
      </w:r>
    </w:p>
    <w:p w:rsidR="00EF4B25" w:rsidRDefault="00EF4B25" w:rsidP="00EF4B25">
      <w:pPr>
        <w:ind w:firstLine="708"/>
        <w:jc w:val="both"/>
      </w:pPr>
      <w:r>
        <w:t xml:space="preserve"> увеличение финансирования мероприятий в образовательных организациях, направленных на  соблюдение требований антитеррористической защищенности;</w:t>
      </w:r>
    </w:p>
    <w:p w:rsidR="00EF4B25" w:rsidRDefault="00EF4B25" w:rsidP="00EF4B25">
      <w:pPr>
        <w:ind w:firstLine="708"/>
        <w:jc w:val="both"/>
      </w:pPr>
      <w:r>
        <w:t xml:space="preserve"> ограничительные меры по заболеваемости новой короновирусной инфекцией</w:t>
      </w:r>
    </w:p>
    <w:p w:rsidR="00EF4B25" w:rsidRDefault="00EF4B25" w:rsidP="00EF4B25">
      <w:pPr>
        <w:ind w:firstLine="708"/>
        <w:jc w:val="both"/>
      </w:pPr>
    </w:p>
    <w:p w:rsidR="00EF4B25" w:rsidRDefault="00EF4B25" w:rsidP="00EF4B25">
      <w:pPr>
        <w:jc w:val="both"/>
      </w:pPr>
      <w:r>
        <w:t xml:space="preserve">Ответственным исполнителем изменения в муниципальную программу </w:t>
      </w:r>
      <w:r>
        <w:rPr>
          <w:bCs/>
          <w:color w:val="000000"/>
        </w:rPr>
        <w:t>«Профилактика экстремизма и терроризма на территории Нязепетровского муниципального района</w:t>
      </w:r>
      <w:r>
        <w:rPr>
          <w:bCs/>
          <w:color w:val="000000"/>
          <w:sz w:val="20"/>
          <w:szCs w:val="20"/>
        </w:rPr>
        <w:t xml:space="preserve"> </w:t>
      </w:r>
      <w:r>
        <w:t xml:space="preserve"> не вносились.</w:t>
      </w:r>
    </w:p>
    <w:p w:rsidR="00EF4B25" w:rsidRDefault="00EF4B25" w:rsidP="00EF4B25">
      <w:pPr>
        <w:ind w:left="-15" w:right="151" w:firstLine="600"/>
        <w:jc w:val="both"/>
      </w:pPr>
      <w:r>
        <w:rPr>
          <w:color w:val="000000"/>
        </w:rPr>
        <w:t>Бюджетная эффективность Программы определяется как отношение фактического объема средств, выделенных на реализацию Программы в отчетном периоде, к запланированному в Программе и составляет 100%, достижение индикативных показателей более 100%, что позволяет оценивать программу как высокоэффективную.</w:t>
      </w:r>
    </w:p>
    <w:p w:rsidR="00EF4B25" w:rsidRDefault="00EF4B25" w:rsidP="00EF4B25">
      <w:pPr>
        <w:spacing w:after="24"/>
        <w:ind w:left="600"/>
        <w:jc w:val="both"/>
      </w:pPr>
      <w:r>
        <w:rPr>
          <w:color w:val="000000"/>
        </w:rPr>
        <w:t xml:space="preserve"> </w:t>
      </w:r>
    </w:p>
    <w:p w:rsidR="00EF4B25" w:rsidRDefault="00EF4B25" w:rsidP="00EF4B25">
      <w:pPr>
        <w:tabs>
          <w:tab w:val="center" w:pos="3728"/>
          <w:tab w:val="center" w:pos="7269"/>
        </w:tabs>
        <w:spacing w:after="47"/>
        <w:jc w:val="both"/>
        <w:rPr>
          <w:rFonts w:eastAsia="Calibri"/>
          <w:color w:val="000000"/>
        </w:rPr>
      </w:pPr>
    </w:p>
    <w:p w:rsidR="00EF4B25" w:rsidRDefault="00EF4B25" w:rsidP="00EF4B25">
      <w:pPr>
        <w:tabs>
          <w:tab w:val="center" w:pos="3728"/>
          <w:tab w:val="center" w:pos="7269"/>
        </w:tabs>
        <w:spacing w:after="47"/>
        <w:jc w:val="both"/>
      </w:pPr>
      <w:r>
        <w:rPr>
          <w:rFonts w:eastAsia="Calibri"/>
          <w:color w:val="000000"/>
        </w:rPr>
        <w:tab/>
      </w:r>
      <w:r>
        <w:rPr>
          <w:rFonts w:eastAsia="Arial"/>
          <w:color w:val="000000"/>
        </w:rPr>
        <w:t xml:space="preserve"> </w:t>
      </w:r>
    </w:p>
    <w:p w:rsidR="00EF4B25" w:rsidRDefault="00EF4B25" w:rsidP="00EF4B25">
      <w:pPr>
        <w:ind w:right="-1"/>
        <w:jc w:val="both"/>
      </w:pPr>
      <w:r>
        <w:rPr>
          <w:rStyle w:val="a3"/>
          <w:bCs/>
        </w:rPr>
        <w:t>Заместитель главы муниципального района</w:t>
      </w:r>
    </w:p>
    <w:p w:rsidR="00EF4B25" w:rsidRDefault="00EF4B25" w:rsidP="00EF4B25">
      <w:pPr>
        <w:ind w:right="-1"/>
        <w:jc w:val="both"/>
      </w:pPr>
      <w:r>
        <w:rPr>
          <w:rStyle w:val="a3"/>
          <w:bCs/>
        </w:rPr>
        <w:t xml:space="preserve"> по социальным вопросам                                                                                    Н.В. Акишева</w:t>
      </w:r>
    </w:p>
    <w:p w:rsidR="00EF4B25" w:rsidRDefault="00EF4B25" w:rsidP="00EF4B25">
      <w:pPr>
        <w:ind w:right="-1"/>
        <w:jc w:val="both"/>
        <w:rPr>
          <w:bCs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EF4B25" w:rsidRDefault="00EF4B25" w:rsidP="00EF4B25">
      <w:pPr>
        <w:ind w:right="-1"/>
        <w:rPr>
          <w:bCs/>
          <w:sz w:val="20"/>
          <w:szCs w:val="20"/>
        </w:rPr>
      </w:pPr>
    </w:p>
    <w:p w:rsidR="00795A9E" w:rsidRDefault="00795A9E">
      <w:bookmarkStart w:id="0" w:name="_GoBack"/>
      <w:bookmarkEnd w:id="0"/>
    </w:p>
    <w:sectPr w:rsidR="007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7"/>
    <w:rsid w:val="00795A9E"/>
    <w:rsid w:val="00B42407"/>
    <w:rsid w:val="00E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783E-A928-441D-97DD-8E221A1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F4B25"/>
    <w:rPr>
      <w:b/>
      <w:color w:val="26282F"/>
    </w:rPr>
  </w:style>
  <w:style w:type="character" w:styleId="a4">
    <w:name w:val="Hyperlink"/>
    <w:rsid w:val="00EF4B2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2022-02-25T03:36:00Z</dcterms:created>
  <dcterms:modified xsi:type="dcterms:W3CDTF">2022-02-25T03:36:00Z</dcterms:modified>
</cp:coreProperties>
</file>